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15CCC" w14:textId="629746AB" w:rsidR="00484131" w:rsidRDefault="00EF3B78" w:rsidP="00EF3B78">
      <w:pPr>
        <w:rPr>
          <w:rFonts w:ascii="Calibri Light" w:hAnsi="Calibri Light"/>
          <w:sz w:val="28"/>
          <w:szCs w:val="28"/>
        </w:rPr>
      </w:pPr>
      <w:r>
        <w:rPr>
          <w:rFonts w:ascii="Calibri Light" w:hAnsi="Calibri Light"/>
          <w:noProof/>
          <w:sz w:val="28"/>
          <w:szCs w:val="28"/>
        </w:rPr>
        <w:drawing>
          <wp:inline distT="0" distB="0" distL="0" distR="0" wp14:anchorId="5B9D7078" wp14:editId="41F08D13">
            <wp:extent cx="3570944"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22111" cy="675119"/>
                    </a:xfrm>
                    <a:prstGeom prst="rect">
                      <a:avLst/>
                    </a:prstGeom>
                    <a:noFill/>
                    <a:ln>
                      <a:noFill/>
                    </a:ln>
                  </pic:spPr>
                </pic:pic>
              </a:graphicData>
            </a:graphic>
          </wp:inline>
        </w:drawing>
      </w:r>
      <w:r>
        <w:rPr>
          <w:rFonts w:ascii="Calibri Light" w:hAnsi="Calibri Light"/>
          <w:sz w:val="28"/>
          <w:szCs w:val="28"/>
        </w:rPr>
        <w:tab/>
      </w:r>
      <w:r>
        <w:rPr>
          <w:rFonts w:ascii="Calibri Light" w:hAnsi="Calibri Light"/>
          <w:sz w:val="28"/>
          <w:szCs w:val="28"/>
        </w:rPr>
        <w:tab/>
        <w:t xml:space="preserve">  </w:t>
      </w:r>
      <w:r>
        <w:rPr>
          <w:rFonts w:ascii="Calibri Light" w:hAnsi="Calibri Light"/>
          <w:noProof/>
          <w:sz w:val="32"/>
          <w:szCs w:val="32"/>
        </w:rPr>
        <w:drawing>
          <wp:inline distT="0" distB="0" distL="0" distR="0" wp14:anchorId="4460F7CE" wp14:editId="570F74DF">
            <wp:extent cx="1647102"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750" cy="726838"/>
                    </a:xfrm>
                    <a:prstGeom prst="rect">
                      <a:avLst/>
                    </a:prstGeom>
                    <a:noFill/>
                    <a:ln>
                      <a:noFill/>
                    </a:ln>
                  </pic:spPr>
                </pic:pic>
              </a:graphicData>
            </a:graphic>
          </wp:inline>
        </w:drawing>
      </w:r>
    </w:p>
    <w:p w14:paraId="29B1F6D3" w14:textId="77777777" w:rsidR="00EF3B78" w:rsidRPr="00173D14" w:rsidRDefault="00EF3B78" w:rsidP="00EF3B78">
      <w:pPr>
        <w:jc w:val="center"/>
        <w:rPr>
          <w:rFonts w:ascii="Calibri Light" w:hAnsi="Calibri Light"/>
          <w:b/>
          <w:sz w:val="28"/>
          <w:szCs w:val="28"/>
        </w:rPr>
      </w:pPr>
      <w:r w:rsidRPr="00173D14">
        <w:rPr>
          <w:rFonts w:ascii="Calibri Light" w:hAnsi="Calibri Light"/>
          <w:b/>
          <w:sz w:val="28"/>
          <w:szCs w:val="28"/>
        </w:rPr>
        <w:t>Fundraiser Sponsorship</w:t>
      </w:r>
    </w:p>
    <w:p w14:paraId="2B56B8AC" w14:textId="43A3CF29" w:rsidR="00EF3B78" w:rsidRDefault="00EF3B78" w:rsidP="00EF3B78">
      <w:pPr>
        <w:rPr>
          <w:rFonts w:ascii="Calibri" w:hAnsi="Calibri"/>
          <w:sz w:val="24"/>
          <w:szCs w:val="24"/>
        </w:rPr>
      </w:pPr>
      <w:r>
        <w:rPr>
          <w:rFonts w:ascii="Calibri" w:hAnsi="Calibri"/>
          <w:b/>
          <w:bCs/>
          <w:sz w:val="24"/>
          <w:szCs w:val="24"/>
        </w:rPr>
        <w:t>Event Description</w:t>
      </w:r>
      <w:r>
        <w:rPr>
          <w:rFonts w:ascii="Calibri" w:hAnsi="Calibri"/>
          <w:sz w:val="24"/>
          <w:szCs w:val="24"/>
        </w:rPr>
        <w:t>: On Saturday</w:t>
      </w:r>
      <w:r w:rsidR="005378F7">
        <w:rPr>
          <w:rFonts w:ascii="Calibri" w:hAnsi="Calibri"/>
          <w:sz w:val="24"/>
          <w:szCs w:val="24"/>
        </w:rPr>
        <w:t xml:space="preserve"> June 11, 2022 at </w:t>
      </w:r>
      <w:r>
        <w:rPr>
          <w:rFonts w:ascii="Calibri" w:hAnsi="Calibri"/>
          <w:sz w:val="24"/>
          <w:szCs w:val="24"/>
        </w:rPr>
        <w:t xml:space="preserve">6:00 pm, the Friends of the Byrd Center are sponsoring a lawn concert </w:t>
      </w:r>
      <w:r w:rsidR="00E15FFD">
        <w:rPr>
          <w:rFonts w:ascii="Calibri" w:hAnsi="Calibri"/>
          <w:sz w:val="24"/>
          <w:szCs w:val="24"/>
        </w:rPr>
        <w:t xml:space="preserve">fundraiser </w:t>
      </w:r>
      <w:r w:rsidR="005378F7">
        <w:rPr>
          <w:rFonts w:ascii="Calibri" w:hAnsi="Calibri"/>
          <w:sz w:val="24"/>
          <w:szCs w:val="24"/>
        </w:rPr>
        <w:t xml:space="preserve">with musicians Johnny </w:t>
      </w:r>
      <w:proofErr w:type="spellStart"/>
      <w:r w:rsidR="005378F7">
        <w:rPr>
          <w:rFonts w:ascii="Calibri" w:hAnsi="Calibri"/>
          <w:sz w:val="24"/>
          <w:szCs w:val="24"/>
        </w:rPr>
        <w:t>Staats</w:t>
      </w:r>
      <w:proofErr w:type="spellEnd"/>
      <w:r w:rsidR="005378F7">
        <w:rPr>
          <w:rFonts w:ascii="Calibri" w:hAnsi="Calibri"/>
          <w:sz w:val="24"/>
          <w:szCs w:val="24"/>
        </w:rPr>
        <w:t xml:space="preserve"> and Robert Shafer</w:t>
      </w:r>
      <w:r>
        <w:rPr>
          <w:rFonts w:ascii="Calibri" w:hAnsi="Calibri"/>
          <w:sz w:val="24"/>
          <w:szCs w:val="24"/>
        </w:rPr>
        <w:t>. The event will include a pig roast barbeque dinner</w:t>
      </w:r>
      <w:r w:rsidR="00D136FB">
        <w:rPr>
          <w:rFonts w:ascii="Calibri" w:hAnsi="Calibri"/>
          <w:sz w:val="24"/>
          <w:szCs w:val="24"/>
        </w:rPr>
        <w:t xml:space="preserve"> with vegetarian options </w:t>
      </w:r>
      <w:r>
        <w:rPr>
          <w:rFonts w:ascii="Calibri" w:hAnsi="Calibri"/>
          <w:sz w:val="24"/>
          <w:szCs w:val="24"/>
        </w:rPr>
        <w:t>and will be held</w:t>
      </w:r>
      <w:r w:rsidR="00D136FB">
        <w:rPr>
          <w:rFonts w:ascii="Calibri" w:hAnsi="Calibri"/>
          <w:sz w:val="24"/>
          <w:szCs w:val="24"/>
        </w:rPr>
        <w:t xml:space="preserve"> on a private property outdoors.</w:t>
      </w:r>
      <w:r>
        <w:rPr>
          <w:rFonts w:ascii="Calibri" w:hAnsi="Calibri"/>
          <w:sz w:val="24"/>
          <w:szCs w:val="24"/>
        </w:rPr>
        <w:t xml:space="preserve"> More information is available at </w:t>
      </w:r>
      <w:r w:rsidR="00173D14">
        <w:rPr>
          <w:rFonts w:ascii="Calibri" w:hAnsi="Calibri"/>
          <w:sz w:val="24"/>
          <w:szCs w:val="24"/>
        </w:rPr>
        <w:br/>
      </w:r>
      <w:hyperlink r:id="rId6" w:history="1">
        <w:r w:rsidR="00173D14" w:rsidRPr="00E73725">
          <w:rPr>
            <w:rStyle w:val="Hyperlink"/>
            <w:rFonts w:ascii="Calibri" w:hAnsi="Calibri"/>
            <w:sz w:val="24"/>
            <w:szCs w:val="24"/>
          </w:rPr>
          <w:t>byrdcenter.org/summer-fundraiser-2022</w:t>
        </w:r>
      </w:hyperlink>
      <w:r w:rsidR="00173D14">
        <w:rPr>
          <w:rFonts w:ascii="Calibri" w:hAnsi="Calibri"/>
          <w:sz w:val="24"/>
          <w:szCs w:val="24"/>
        </w:rPr>
        <w:t>.</w:t>
      </w:r>
    </w:p>
    <w:p w14:paraId="38F764EB" w14:textId="7A94BCF4" w:rsidR="00EF3B78" w:rsidRDefault="00EF3B78" w:rsidP="00EF3B78">
      <w:pPr>
        <w:rPr>
          <w:rFonts w:ascii="Calibri" w:hAnsi="Calibri"/>
          <w:sz w:val="24"/>
          <w:szCs w:val="24"/>
        </w:rPr>
      </w:pPr>
      <w:r>
        <w:rPr>
          <w:rFonts w:ascii="Calibri" w:hAnsi="Calibri"/>
          <w:b/>
          <w:bCs/>
          <w:sz w:val="24"/>
          <w:szCs w:val="24"/>
        </w:rPr>
        <w:t>Designation for Funds Raised</w:t>
      </w:r>
      <w:r>
        <w:rPr>
          <w:rFonts w:ascii="Calibri" w:hAnsi="Calibri"/>
          <w:sz w:val="24"/>
          <w:szCs w:val="24"/>
        </w:rPr>
        <w:t xml:space="preserve">: After covering expenses for the evening, all proceeds raised from ticket sales and sponsorships will fund the civics education initiatives of the Robert C. Byrd Center for Congressional History and Education, located on the campus of Shepherd University. A private, non-profit, non-partisan organization, the Byrd Center conducts an annual Teacher Institute providing training in civics for over 150 West Virginia educators, offers internships to Shepherd University students, and provides free public programs to the Shepherd campus and Shepherdstown community. </w:t>
      </w:r>
      <w:r w:rsidR="00E15FFD">
        <w:rPr>
          <w:rFonts w:ascii="Calibri" w:hAnsi="Calibri"/>
          <w:sz w:val="24"/>
          <w:szCs w:val="24"/>
        </w:rPr>
        <w:t xml:space="preserve">More information may be found at </w:t>
      </w:r>
      <w:hyperlink r:id="rId7" w:history="1">
        <w:r w:rsidR="00E15FFD" w:rsidRPr="00145814">
          <w:rPr>
            <w:rStyle w:val="Hyperlink"/>
            <w:rFonts w:ascii="Calibri" w:hAnsi="Calibri"/>
            <w:sz w:val="24"/>
            <w:szCs w:val="24"/>
          </w:rPr>
          <w:t>www.byrdcenter.org/about-us</w:t>
        </w:r>
      </w:hyperlink>
      <w:r w:rsidR="00E15FFD">
        <w:rPr>
          <w:rFonts w:ascii="Calibri" w:hAnsi="Calibri"/>
          <w:sz w:val="24"/>
          <w:szCs w:val="24"/>
        </w:rPr>
        <w:t xml:space="preserve">. </w:t>
      </w:r>
    </w:p>
    <w:p w14:paraId="05E75B53" w14:textId="77777777" w:rsidR="00EF3B78" w:rsidRDefault="00EF3B78" w:rsidP="00EF3B78">
      <w:pPr>
        <w:rPr>
          <w:rFonts w:ascii="Calibri" w:hAnsi="Calibri"/>
          <w:sz w:val="24"/>
          <w:szCs w:val="24"/>
        </w:rPr>
      </w:pPr>
      <w:r>
        <w:rPr>
          <w:rFonts w:ascii="Calibri" w:hAnsi="Calibri"/>
          <w:b/>
          <w:bCs/>
          <w:sz w:val="24"/>
          <w:szCs w:val="24"/>
        </w:rPr>
        <w:t>Levels of Sponsorship:</w:t>
      </w:r>
    </w:p>
    <w:tbl>
      <w:tblPr>
        <w:tblStyle w:val="TableGrid"/>
        <w:tblW w:w="0" w:type="auto"/>
        <w:tblLook w:val="04A0" w:firstRow="1" w:lastRow="0" w:firstColumn="1" w:lastColumn="0" w:noHBand="0" w:noVBand="1"/>
      </w:tblPr>
      <w:tblGrid>
        <w:gridCol w:w="3523"/>
        <w:gridCol w:w="1489"/>
        <w:gridCol w:w="1503"/>
        <w:gridCol w:w="1420"/>
        <w:gridCol w:w="1415"/>
      </w:tblGrid>
      <w:tr w:rsidR="00C41E81" w14:paraId="6EE1E759" w14:textId="2D744791" w:rsidTr="00C41E81">
        <w:tc>
          <w:tcPr>
            <w:tcW w:w="3618" w:type="dxa"/>
            <w:shd w:val="clear" w:color="auto" w:fill="00518A"/>
          </w:tcPr>
          <w:p w14:paraId="17A72B5D" w14:textId="77777777" w:rsidR="00C41E81" w:rsidRPr="00051793" w:rsidRDefault="00C41E81" w:rsidP="00EF3B78">
            <w:pPr>
              <w:rPr>
                <w:rFonts w:ascii="Calibri" w:hAnsi="Calibri"/>
                <w:color w:val="FFFFFF" w:themeColor="background1"/>
                <w:sz w:val="24"/>
                <w:szCs w:val="24"/>
              </w:rPr>
            </w:pPr>
            <w:r w:rsidRPr="00051793">
              <w:rPr>
                <w:rFonts w:ascii="Calibri" w:hAnsi="Calibri"/>
                <w:color w:val="FFFFFF" w:themeColor="background1"/>
                <w:sz w:val="24"/>
                <w:szCs w:val="24"/>
              </w:rPr>
              <w:t>Benefits</w:t>
            </w:r>
          </w:p>
        </w:tc>
        <w:tc>
          <w:tcPr>
            <w:tcW w:w="1530" w:type="dxa"/>
            <w:shd w:val="clear" w:color="auto" w:fill="00518A"/>
          </w:tcPr>
          <w:p w14:paraId="033748B5" w14:textId="77777777" w:rsidR="00C41E81" w:rsidRPr="00051793" w:rsidRDefault="00C41E81" w:rsidP="00EF3B78">
            <w:pPr>
              <w:rPr>
                <w:rFonts w:ascii="Calibri" w:hAnsi="Calibri"/>
                <w:color w:val="FFFFFF" w:themeColor="background1"/>
                <w:sz w:val="24"/>
                <w:szCs w:val="24"/>
              </w:rPr>
            </w:pPr>
            <w:r w:rsidRPr="00051793">
              <w:rPr>
                <w:rFonts w:ascii="Calibri" w:hAnsi="Calibri"/>
                <w:color w:val="FFFFFF" w:themeColor="background1"/>
                <w:sz w:val="24"/>
                <w:szCs w:val="24"/>
              </w:rPr>
              <w:t>$500.00</w:t>
            </w:r>
          </w:p>
        </w:tc>
        <w:tc>
          <w:tcPr>
            <w:tcW w:w="1530" w:type="dxa"/>
            <w:shd w:val="clear" w:color="auto" w:fill="00518A"/>
          </w:tcPr>
          <w:p w14:paraId="7AED0AE3" w14:textId="77777777" w:rsidR="00C41E81" w:rsidRPr="00051793" w:rsidRDefault="00C41E81" w:rsidP="00EF3B78">
            <w:pPr>
              <w:rPr>
                <w:rFonts w:ascii="Calibri" w:hAnsi="Calibri"/>
                <w:color w:val="FFFFFF" w:themeColor="background1"/>
                <w:sz w:val="24"/>
                <w:szCs w:val="24"/>
              </w:rPr>
            </w:pPr>
            <w:r w:rsidRPr="00051793">
              <w:rPr>
                <w:rFonts w:ascii="Calibri" w:hAnsi="Calibri"/>
                <w:color w:val="FFFFFF" w:themeColor="background1"/>
                <w:sz w:val="24"/>
                <w:szCs w:val="24"/>
              </w:rPr>
              <w:t>$1,000.00</w:t>
            </w:r>
          </w:p>
        </w:tc>
        <w:tc>
          <w:tcPr>
            <w:tcW w:w="1440" w:type="dxa"/>
            <w:shd w:val="clear" w:color="auto" w:fill="00518A"/>
          </w:tcPr>
          <w:p w14:paraId="72C79D13" w14:textId="77777777" w:rsidR="00C41E81" w:rsidRPr="00051793" w:rsidRDefault="00C41E81" w:rsidP="00EF3B78">
            <w:pPr>
              <w:rPr>
                <w:rFonts w:ascii="Calibri" w:hAnsi="Calibri"/>
                <w:color w:val="FFFFFF" w:themeColor="background1"/>
                <w:sz w:val="24"/>
                <w:szCs w:val="24"/>
              </w:rPr>
            </w:pPr>
            <w:r w:rsidRPr="00051793">
              <w:rPr>
                <w:rFonts w:ascii="Calibri" w:hAnsi="Calibri"/>
                <w:color w:val="FFFFFF" w:themeColor="background1"/>
                <w:sz w:val="24"/>
                <w:szCs w:val="24"/>
              </w:rPr>
              <w:t>$1,500.00</w:t>
            </w:r>
          </w:p>
        </w:tc>
        <w:tc>
          <w:tcPr>
            <w:tcW w:w="1458" w:type="dxa"/>
            <w:shd w:val="clear" w:color="auto" w:fill="00518A"/>
          </w:tcPr>
          <w:p w14:paraId="60EA47D6" w14:textId="0CC99DB3" w:rsidR="00C41E81" w:rsidRPr="00051793" w:rsidRDefault="00C41E81" w:rsidP="00EF3B78">
            <w:pPr>
              <w:rPr>
                <w:rFonts w:ascii="Calibri" w:hAnsi="Calibri"/>
                <w:color w:val="FFFFFF" w:themeColor="background1"/>
                <w:sz w:val="24"/>
                <w:szCs w:val="24"/>
              </w:rPr>
            </w:pPr>
            <w:r>
              <w:rPr>
                <w:rFonts w:ascii="Calibri" w:hAnsi="Calibri"/>
                <w:color w:val="FFFFFF" w:themeColor="background1"/>
                <w:sz w:val="24"/>
                <w:szCs w:val="24"/>
              </w:rPr>
              <w:t>$2,000</w:t>
            </w:r>
          </w:p>
        </w:tc>
      </w:tr>
      <w:tr w:rsidR="00C41E81" w14:paraId="3409F8EA" w14:textId="16D2C57F" w:rsidTr="00C41E81">
        <w:tc>
          <w:tcPr>
            <w:tcW w:w="3618" w:type="dxa"/>
          </w:tcPr>
          <w:p w14:paraId="6B752E80" w14:textId="77777777" w:rsidR="00C41E81" w:rsidRDefault="00C41E81" w:rsidP="00EF3B78">
            <w:pPr>
              <w:rPr>
                <w:rFonts w:ascii="Calibri" w:hAnsi="Calibri"/>
                <w:sz w:val="24"/>
                <w:szCs w:val="24"/>
              </w:rPr>
            </w:pPr>
            <w:r>
              <w:rPr>
                <w:rFonts w:ascii="Calibri" w:hAnsi="Calibri"/>
                <w:sz w:val="24"/>
                <w:szCs w:val="24"/>
              </w:rPr>
              <w:t>Pre-Event Web &amp; Email Recognition</w:t>
            </w:r>
          </w:p>
        </w:tc>
        <w:tc>
          <w:tcPr>
            <w:tcW w:w="1530" w:type="dxa"/>
          </w:tcPr>
          <w:p w14:paraId="0985D75E" w14:textId="77777777" w:rsidR="00C41E81" w:rsidRDefault="00C41E81" w:rsidP="00C41E81">
            <w:pPr>
              <w:jc w:val="center"/>
              <w:rPr>
                <w:rFonts w:ascii="Calibri" w:hAnsi="Calibri"/>
                <w:sz w:val="24"/>
                <w:szCs w:val="24"/>
              </w:rPr>
            </w:pPr>
            <w:r>
              <w:rPr>
                <w:rFonts w:ascii="Calibri" w:hAnsi="Calibri"/>
                <w:sz w:val="24"/>
                <w:szCs w:val="24"/>
              </w:rPr>
              <w:t>•</w:t>
            </w:r>
          </w:p>
        </w:tc>
        <w:tc>
          <w:tcPr>
            <w:tcW w:w="1530" w:type="dxa"/>
          </w:tcPr>
          <w:p w14:paraId="6EA3F628" w14:textId="77777777" w:rsidR="00C41E81" w:rsidRDefault="00C41E81" w:rsidP="00C41E81">
            <w:pPr>
              <w:jc w:val="center"/>
              <w:rPr>
                <w:rFonts w:ascii="Calibri" w:hAnsi="Calibri"/>
                <w:sz w:val="24"/>
                <w:szCs w:val="24"/>
              </w:rPr>
            </w:pPr>
            <w:r>
              <w:rPr>
                <w:rFonts w:ascii="Calibri" w:hAnsi="Calibri"/>
                <w:sz w:val="24"/>
                <w:szCs w:val="24"/>
              </w:rPr>
              <w:t>•</w:t>
            </w:r>
          </w:p>
        </w:tc>
        <w:tc>
          <w:tcPr>
            <w:tcW w:w="1440" w:type="dxa"/>
          </w:tcPr>
          <w:p w14:paraId="23274189" w14:textId="77777777" w:rsidR="00C41E81" w:rsidRDefault="00C41E81" w:rsidP="00C41E81">
            <w:pPr>
              <w:jc w:val="center"/>
              <w:rPr>
                <w:rFonts w:ascii="Calibri" w:hAnsi="Calibri"/>
                <w:sz w:val="24"/>
                <w:szCs w:val="24"/>
              </w:rPr>
            </w:pPr>
            <w:r>
              <w:rPr>
                <w:rFonts w:ascii="Calibri" w:hAnsi="Calibri"/>
                <w:sz w:val="24"/>
                <w:szCs w:val="24"/>
              </w:rPr>
              <w:t>•</w:t>
            </w:r>
          </w:p>
        </w:tc>
        <w:tc>
          <w:tcPr>
            <w:tcW w:w="1458" w:type="dxa"/>
          </w:tcPr>
          <w:p w14:paraId="2EEF4A11" w14:textId="3EC11BCC" w:rsidR="00C41E81" w:rsidRDefault="00C41E81" w:rsidP="00C41E81">
            <w:pPr>
              <w:jc w:val="center"/>
              <w:rPr>
                <w:rFonts w:ascii="Calibri" w:hAnsi="Calibri"/>
                <w:sz w:val="24"/>
                <w:szCs w:val="24"/>
              </w:rPr>
            </w:pPr>
            <w:r>
              <w:rPr>
                <w:rFonts w:ascii="Calibri" w:hAnsi="Calibri"/>
                <w:sz w:val="24"/>
                <w:szCs w:val="24"/>
              </w:rPr>
              <w:t>•</w:t>
            </w:r>
          </w:p>
        </w:tc>
      </w:tr>
      <w:tr w:rsidR="00C41E81" w14:paraId="7B89C86D" w14:textId="2CF9391B" w:rsidTr="00C41E81">
        <w:tc>
          <w:tcPr>
            <w:tcW w:w="3618" w:type="dxa"/>
          </w:tcPr>
          <w:p w14:paraId="7D9F022B" w14:textId="77777777" w:rsidR="00C41E81" w:rsidRDefault="00C41E81" w:rsidP="00EF3B78">
            <w:pPr>
              <w:rPr>
                <w:rFonts w:ascii="Calibri" w:hAnsi="Calibri"/>
                <w:sz w:val="24"/>
                <w:szCs w:val="24"/>
              </w:rPr>
            </w:pPr>
            <w:r>
              <w:rPr>
                <w:rFonts w:ascii="Calibri" w:hAnsi="Calibri"/>
                <w:sz w:val="24"/>
                <w:szCs w:val="24"/>
              </w:rPr>
              <w:t>Verbal Recognition at Event</w:t>
            </w:r>
          </w:p>
        </w:tc>
        <w:tc>
          <w:tcPr>
            <w:tcW w:w="1530" w:type="dxa"/>
          </w:tcPr>
          <w:p w14:paraId="582331AB" w14:textId="77777777" w:rsidR="00C41E81" w:rsidRDefault="00C41E81" w:rsidP="00C41E81">
            <w:pPr>
              <w:jc w:val="center"/>
              <w:rPr>
                <w:rFonts w:ascii="Calibri" w:hAnsi="Calibri"/>
                <w:sz w:val="24"/>
                <w:szCs w:val="24"/>
              </w:rPr>
            </w:pPr>
            <w:r>
              <w:rPr>
                <w:rFonts w:ascii="Calibri" w:hAnsi="Calibri"/>
                <w:sz w:val="24"/>
                <w:szCs w:val="24"/>
              </w:rPr>
              <w:t>•</w:t>
            </w:r>
          </w:p>
        </w:tc>
        <w:tc>
          <w:tcPr>
            <w:tcW w:w="1530" w:type="dxa"/>
          </w:tcPr>
          <w:p w14:paraId="5935454F" w14:textId="77777777" w:rsidR="00C41E81" w:rsidRDefault="00C41E81" w:rsidP="00C41E81">
            <w:pPr>
              <w:jc w:val="center"/>
              <w:rPr>
                <w:rFonts w:ascii="Calibri" w:hAnsi="Calibri"/>
                <w:sz w:val="24"/>
                <w:szCs w:val="24"/>
              </w:rPr>
            </w:pPr>
            <w:r>
              <w:rPr>
                <w:rFonts w:ascii="Calibri" w:hAnsi="Calibri"/>
                <w:sz w:val="24"/>
                <w:szCs w:val="24"/>
              </w:rPr>
              <w:t>•</w:t>
            </w:r>
          </w:p>
        </w:tc>
        <w:tc>
          <w:tcPr>
            <w:tcW w:w="1440" w:type="dxa"/>
          </w:tcPr>
          <w:p w14:paraId="6BB0DFE2" w14:textId="77777777" w:rsidR="00C41E81" w:rsidRDefault="00C41E81" w:rsidP="00C41E81">
            <w:pPr>
              <w:jc w:val="center"/>
              <w:rPr>
                <w:rFonts w:ascii="Calibri" w:hAnsi="Calibri"/>
                <w:sz w:val="24"/>
                <w:szCs w:val="24"/>
              </w:rPr>
            </w:pPr>
            <w:r>
              <w:rPr>
                <w:rFonts w:ascii="Calibri" w:hAnsi="Calibri"/>
                <w:sz w:val="24"/>
                <w:szCs w:val="24"/>
              </w:rPr>
              <w:t>•</w:t>
            </w:r>
          </w:p>
        </w:tc>
        <w:tc>
          <w:tcPr>
            <w:tcW w:w="1458" w:type="dxa"/>
          </w:tcPr>
          <w:p w14:paraId="70108CDC" w14:textId="11542B24" w:rsidR="00C41E81" w:rsidRDefault="00C41E81" w:rsidP="00C41E81">
            <w:pPr>
              <w:jc w:val="center"/>
              <w:rPr>
                <w:rFonts w:ascii="Calibri" w:hAnsi="Calibri"/>
                <w:sz w:val="24"/>
                <w:szCs w:val="24"/>
              </w:rPr>
            </w:pPr>
            <w:r>
              <w:rPr>
                <w:rFonts w:ascii="Calibri" w:hAnsi="Calibri"/>
                <w:sz w:val="24"/>
                <w:szCs w:val="24"/>
              </w:rPr>
              <w:t>•</w:t>
            </w:r>
          </w:p>
        </w:tc>
      </w:tr>
      <w:tr w:rsidR="00C41E81" w14:paraId="020F9EE5" w14:textId="45F8BBC6" w:rsidTr="00C41E81">
        <w:tc>
          <w:tcPr>
            <w:tcW w:w="3618" w:type="dxa"/>
          </w:tcPr>
          <w:p w14:paraId="6FDAEA04" w14:textId="081B94DB" w:rsidR="00C41E81" w:rsidRDefault="00C41E81" w:rsidP="00EF3B78">
            <w:pPr>
              <w:rPr>
                <w:rFonts w:ascii="Calibri" w:hAnsi="Calibri"/>
                <w:sz w:val="24"/>
                <w:szCs w:val="24"/>
              </w:rPr>
            </w:pPr>
            <w:r>
              <w:rPr>
                <w:rFonts w:ascii="Calibri" w:hAnsi="Calibri"/>
                <w:sz w:val="24"/>
                <w:szCs w:val="24"/>
              </w:rPr>
              <w:t>Display of Business/Organization Logo at Event on Banners</w:t>
            </w:r>
          </w:p>
        </w:tc>
        <w:tc>
          <w:tcPr>
            <w:tcW w:w="1530" w:type="dxa"/>
          </w:tcPr>
          <w:p w14:paraId="3C50955D" w14:textId="0D5D4348" w:rsidR="00C41E81" w:rsidRDefault="00C41E81" w:rsidP="00C41E81">
            <w:pPr>
              <w:jc w:val="center"/>
              <w:rPr>
                <w:rFonts w:ascii="Calibri" w:hAnsi="Calibri"/>
                <w:sz w:val="24"/>
                <w:szCs w:val="24"/>
              </w:rPr>
            </w:pPr>
            <w:r>
              <w:rPr>
                <w:rFonts w:ascii="Calibri" w:hAnsi="Calibri"/>
                <w:sz w:val="24"/>
                <w:szCs w:val="24"/>
              </w:rPr>
              <w:t>•</w:t>
            </w:r>
          </w:p>
        </w:tc>
        <w:tc>
          <w:tcPr>
            <w:tcW w:w="1530" w:type="dxa"/>
          </w:tcPr>
          <w:p w14:paraId="531EB14D" w14:textId="77777777" w:rsidR="00C41E81" w:rsidRDefault="00C41E81" w:rsidP="00C41E81">
            <w:pPr>
              <w:jc w:val="center"/>
              <w:rPr>
                <w:rFonts w:ascii="Calibri" w:hAnsi="Calibri"/>
                <w:sz w:val="24"/>
                <w:szCs w:val="24"/>
              </w:rPr>
            </w:pPr>
            <w:r>
              <w:rPr>
                <w:rFonts w:ascii="Calibri" w:hAnsi="Calibri"/>
                <w:sz w:val="24"/>
                <w:szCs w:val="24"/>
              </w:rPr>
              <w:t>•</w:t>
            </w:r>
          </w:p>
          <w:p w14:paraId="7A7ED8A3" w14:textId="3FA0DFDB" w:rsidR="00C41E81" w:rsidRDefault="00C41E81" w:rsidP="00C41E81">
            <w:pPr>
              <w:jc w:val="center"/>
              <w:rPr>
                <w:rFonts w:ascii="Calibri" w:hAnsi="Calibri"/>
                <w:sz w:val="24"/>
                <w:szCs w:val="24"/>
              </w:rPr>
            </w:pPr>
            <w:r>
              <w:rPr>
                <w:rFonts w:ascii="Calibri" w:hAnsi="Calibri"/>
                <w:sz w:val="24"/>
                <w:szCs w:val="24"/>
              </w:rPr>
              <w:t>+stage banner</w:t>
            </w:r>
          </w:p>
        </w:tc>
        <w:tc>
          <w:tcPr>
            <w:tcW w:w="1440" w:type="dxa"/>
          </w:tcPr>
          <w:p w14:paraId="57257FC9" w14:textId="77777777" w:rsidR="00C41E81" w:rsidRDefault="00C41E81" w:rsidP="00C41E81">
            <w:pPr>
              <w:jc w:val="center"/>
              <w:rPr>
                <w:rFonts w:ascii="Calibri" w:hAnsi="Calibri"/>
                <w:sz w:val="24"/>
                <w:szCs w:val="24"/>
              </w:rPr>
            </w:pPr>
            <w:r>
              <w:rPr>
                <w:rFonts w:ascii="Calibri" w:hAnsi="Calibri"/>
                <w:sz w:val="24"/>
                <w:szCs w:val="24"/>
              </w:rPr>
              <w:t>•</w:t>
            </w:r>
          </w:p>
          <w:p w14:paraId="6F49ECD5" w14:textId="54A4248D" w:rsidR="00C41E81" w:rsidRDefault="00C41E81" w:rsidP="00C41E81">
            <w:pPr>
              <w:jc w:val="center"/>
              <w:rPr>
                <w:rFonts w:ascii="Calibri" w:hAnsi="Calibri"/>
                <w:sz w:val="24"/>
                <w:szCs w:val="24"/>
              </w:rPr>
            </w:pPr>
            <w:r>
              <w:rPr>
                <w:rFonts w:ascii="Calibri" w:hAnsi="Calibri"/>
                <w:sz w:val="24"/>
                <w:szCs w:val="24"/>
              </w:rPr>
              <w:t>+stage banner</w:t>
            </w:r>
          </w:p>
        </w:tc>
        <w:tc>
          <w:tcPr>
            <w:tcW w:w="1458" w:type="dxa"/>
          </w:tcPr>
          <w:p w14:paraId="03BE4C3A" w14:textId="77777777" w:rsidR="00C41E81" w:rsidRDefault="00C41E81" w:rsidP="00C41E81">
            <w:pPr>
              <w:jc w:val="center"/>
              <w:rPr>
                <w:rFonts w:ascii="Calibri" w:hAnsi="Calibri"/>
                <w:sz w:val="24"/>
                <w:szCs w:val="24"/>
              </w:rPr>
            </w:pPr>
            <w:r>
              <w:rPr>
                <w:rFonts w:ascii="Calibri" w:hAnsi="Calibri"/>
                <w:sz w:val="24"/>
                <w:szCs w:val="24"/>
              </w:rPr>
              <w:t>•</w:t>
            </w:r>
          </w:p>
          <w:p w14:paraId="72486B7A" w14:textId="367EFADA" w:rsidR="00C41E81" w:rsidRDefault="00C41E81" w:rsidP="00C41E81">
            <w:pPr>
              <w:jc w:val="center"/>
              <w:rPr>
                <w:rFonts w:ascii="Calibri" w:hAnsi="Calibri"/>
                <w:sz w:val="24"/>
                <w:szCs w:val="24"/>
              </w:rPr>
            </w:pPr>
            <w:r>
              <w:rPr>
                <w:rFonts w:ascii="Calibri" w:hAnsi="Calibri"/>
                <w:sz w:val="24"/>
                <w:szCs w:val="24"/>
              </w:rPr>
              <w:t>+stage banner</w:t>
            </w:r>
          </w:p>
        </w:tc>
      </w:tr>
      <w:tr w:rsidR="00C41E81" w14:paraId="77ED0899" w14:textId="5F500B46" w:rsidTr="00C41E81">
        <w:tc>
          <w:tcPr>
            <w:tcW w:w="3618" w:type="dxa"/>
          </w:tcPr>
          <w:p w14:paraId="2C4F5FE1" w14:textId="339E5E0D" w:rsidR="00C41E81" w:rsidRDefault="00C41E81" w:rsidP="00EF3B78">
            <w:pPr>
              <w:rPr>
                <w:rFonts w:ascii="Calibri" w:hAnsi="Calibri"/>
                <w:sz w:val="24"/>
                <w:szCs w:val="24"/>
              </w:rPr>
            </w:pPr>
            <w:r>
              <w:rPr>
                <w:rFonts w:ascii="Calibri" w:hAnsi="Calibri"/>
                <w:sz w:val="24"/>
                <w:szCs w:val="24"/>
              </w:rPr>
              <w:t>2-Complimentary Tickets for Event</w:t>
            </w:r>
          </w:p>
        </w:tc>
        <w:tc>
          <w:tcPr>
            <w:tcW w:w="1530" w:type="dxa"/>
          </w:tcPr>
          <w:p w14:paraId="7C1E066A" w14:textId="77777777" w:rsidR="00C41E81" w:rsidRDefault="00C41E81" w:rsidP="00C41E81">
            <w:pPr>
              <w:jc w:val="center"/>
              <w:rPr>
                <w:rFonts w:ascii="Calibri" w:hAnsi="Calibri"/>
                <w:sz w:val="24"/>
                <w:szCs w:val="24"/>
              </w:rPr>
            </w:pPr>
          </w:p>
        </w:tc>
        <w:tc>
          <w:tcPr>
            <w:tcW w:w="1530" w:type="dxa"/>
          </w:tcPr>
          <w:p w14:paraId="26E912E3" w14:textId="77777777" w:rsidR="00C41E81" w:rsidRDefault="00C41E81" w:rsidP="00C41E81">
            <w:pPr>
              <w:jc w:val="center"/>
              <w:rPr>
                <w:rFonts w:ascii="Calibri" w:hAnsi="Calibri"/>
                <w:sz w:val="24"/>
                <w:szCs w:val="24"/>
              </w:rPr>
            </w:pPr>
          </w:p>
        </w:tc>
        <w:tc>
          <w:tcPr>
            <w:tcW w:w="1440" w:type="dxa"/>
          </w:tcPr>
          <w:p w14:paraId="5686440A" w14:textId="77777777" w:rsidR="00C41E81" w:rsidRDefault="00C41E81" w:rsidP="00C41E81">
            <w:pPr>
              <w:jc w:val="center"/>
              <w:rPr>
                <w:rFonts w:ascii="Calibri" w:hAnsi="Calibri"/>
                <w:sz w:val="24"/>
                <w:szCs w:val="24"/>
              </w:rPr>
            </w:pPr>
            <w:r>
              <w:rPr>
                <w:rFonts w:ascii="Calibri" w:hAnsi="Calibri"/>
                <w:sz w:val="24"/>
                <w:szCs w:val="24"/>
              </w:rPr>
              <w:t>•</w:t>
            </w:r>
          </w:p>
        </w:tc>
        <w:tc>
          <w:tcPr>
            <w:tcW w:w="1458" w:type="dxa"/>
          </w:tcPr>
          <w:p w14:paraId="1CCD6242" w14:textId="76BFF5BC" w:rsidR="00C41E81" w:rsidRDefault="00C41E81" w:rsidP="00C41E81">
            <w:pPr>
              <w:jc w:val="center"/>
              <w:rPr>
                <w:rFonts w:ascii="Calibri" w:hAnsi="Calibri"/>
                <w:sz w:val="24"/>
                <w:szCs w:val="24"/>
              </w:rPr>
            </w:pPr>
            <w:r>
              <w:rPr>
                <w:rFonts w:ascii="Calibri" w:hAnsi="Calibri"/>
                <w:sz w:val="24"/>
                <w:szCs w:val="24"/>
              </w:rPr>
              <w:t>•</w:t>
            </w:r>
          </w:p>
        </w:tc>
      </w:tr>
      <w:tr w:rsidR="00D136FB" w14:paraId="60416A0E" w14:textId="77777777" w:rsidTr="00C41E81">
        <w:tc>
          <w:tcPr>
            <w:tcW w:w="3618" w:type="dxa"/>
          </w:tcPr>
          <w:p w14:paraId="34DB41FD" w14:textId="6B3F5B2A" w:rsidR="00D136FB" w:rsidRDefault="00D136FB" w:rsidP="00EF3B78">
            <w:pPr>
              <w:rPr>
                <w:rFonts w:ascii="Calibri" w:hAnsi="Calibri"/>
                <w:sz w:val="24"/>
                <w:szCs w:val="24"/>
              </w:rPr>
            </w:pPr>
            <w:r>
              <w:rPr>
                <w:rFonts w:ascii="Calibri" w:hAnsi="Calibri"/>
                <w:sz w:val="24"/>
                <w:szCs w:val="24"/>
              </w:rPr>
              <w:t xml:space="preserve">Featured in Press Releases </w:t>
            </w:r>
          </w:p>
        </w:tc>
        <w:tc>
          <w:tcPr>
            <w:tcW w:w="1530" w:type="dxa"/>
          </w:tcPr>
          <w:p w14:paraId="5A7F4FD0" w14:textId="77777777" w:rsidR="00D136FB" w:rsidRDefault="00D136FB" w:rsidP="00C41E81">
            <w:pPr>
              <w:jc w:val="center"/>
              <w:rPr>
                <w:rFonts w:ascii="Calibri" w:hAnsi="Calibri"/>
                <w:sz w:val="24"/>
                <w:szCs w:val="24"/>
              </w:rPr>
            </w:pPr>
          </w:p>
        </w:tc>
        <w:tc>
          <w:tcPr>
            <w:tcW w:w="1530" w:type="dxa"/>
          </w:tcPr>
          <w:p w14:paraId="6125D4A6" w14:textId="77777777" w:rsidR="00D136FB" w:rsidRDefault="00D136FB" w:rsidP="00C41E81">
            <w:pPr>
              <w:jc w:val="center"/>
              <w:rPr>
                <w:rFonts w:ascii="Calibri" w:hAnsi="Calibri"/>
                <w:sz w:val="24"/>
                <w:szCs w:val="24"/>
              </w:rPr>
            </w:pPr>
          </w:p>
        </w:tc>
        <w:tc>
          <w:tcPr>
            <w:tcW w:w="1440" w:type="dxa"/>
          </w:tcPr>
          <w:p w14:paraId="035BC857" w14:textId="77777777" w:rsidR="00D136FB" w:rsidRDefault="00D136FB" w:rsidP="00C41E81">
            <w:pPr>
              <w:jc w:val="center"/>
              <w:rPr>
                <w:rFonts w:ascii="Calibri" w:hAnsi="Calibri"/>
                <w:sz w:val="24"/>
                <w:szCs w:val="24"/>
              </w:rPr>
            </w:pPr>
          </w:p>
        </w:tc>
        <w:tc>
          <w:tcPr>
            <w:tcW w:w="1458" w:type="dxa"/>
          </w:tcPr>
          <w:p w14:paraId="73215186" w14:textId="148DEEA5" w:rsidR="00D136FB" w:rsidRDefault="00D136FB" w:rsidP="00C41E81">
            <w:pPr>
              <w:jc w:val="center"/>
              <w:rPr>
                <w:rFonts w:ascii="Calibri" w:hAnsi="Calibri"/>
                <w:sz w:val="24"/>
                <w:szCs w:val="24"/>
              </w:rPr>
            </w:pPr>
            <w:r>
              <w:rPr>
                <w:rFonts w:ascii="Calibri" w:hAnsi="Calibri"/>
                <w:sz w:val="24"/>
                <w:szCs w:val="24"/>
              </w:rPr>
              <w:t>•</w:t>
            </w:r>
          </w:p>
        </w:tc>
      </w:tr>
    </w:tbl>
    <w:p w14:paraId="6C4C930F" w14:textId="621289FD" w:rsidR="00F2094A" w:rsidRDefault="00051793" w:rsidP="00EF3B78">
      <w:pPr>
        <w:rPr>
          <w:rFonts w:ascii="Calibri" w:hAnsi="Calibri"/>
          <w:sz w:val="24"/>
          <w:szCs w:val="24"/>
        </w:rPr>
      </w:pPr>
      <w:r>
        <w:rPr>
          <w:rFonts w:ascii="Calibri" w:hAnsi="Calibri"/>
          <w:b/>
          <w:bCs/>
          <w:sz w:val="24"/>
          <w:szCs w:val="24"/>
        </w:rPr>
        <w:t>How to Donate:</w:t>
      </w:r>
      <w:r>
        <w:rPr>
          <w:rFonts w:ascii="Calibri" w:hAnsi="Calibri"/>
          <w:sz w:val="24"/>
          <w:szCs w:val="24"/>
        </w:rPr>
        <w:t xml:space="preserve"> Donations can be made electronically by visiting </w:t>
      </w:r>
      <w:r w:rsidR="00E73725">
        <w:rPr>
          <w:rFonts w:ascii="Calibri" w:hAnsi="Calibri"/>
          <w:sz w:val="24"/>
          <w:szCs w:val="24"/>
        </w:rPr>
        <w:t xml:space="preserve">our website </w:t>
      </w:r>
      <w:r w:rsidR="00E73725">
        <w:rPr>
          <w:rFonts w:ascii="Calibri" w:hAnsi="Calibri"/>
          <w:sz w:val="24"/>
          <w:szCs w:val="24"/>
        </w:rPr>
        <w:br/>
      </w:r>
      <w:hyperlink r:id="rId8" w:history="1">
        <w:r w:rsidR="00E73725" w:rsidRPr="00E73725">
          <w:rPr>
            <w:rStyle w:val="Hyperlink"/>
            <w:rFonts w:ascii="Calibri" w:hAnsi="Calibri"/>
            <w:sz w:val="24"/>
            <w:szCs w:val="24"/>
          </w:rPr>
          <w:t>byrdcenter.org/summer-fundraiser-2022</w:t>
        </w:r>
      </w:hyperlink>
      <w:r>
        <w:rPr>
          <w:rFonts w:ascii="Calibri" w:hAnsi="Calibri"/>
          <w:sz w:val="24"/>
          <w:szCs w:val="24"/>
        </w:rPr>
        <w:t xml:space="preserve"> and selecting your level of sponsorship. </w:t>
      </w:r>
    </w:p>
    <w:p w14:paraId="50B289A7" w14:textId="5E2DAEE2" w:rsidR="00051793" w:rsidRDefault="00051793" w:rsidP="00EF3B78">
      <w:pPr>
        <w:rPr>
          <w:rFonts w:ascii="Calibri" w:hAnsi="Calibri"/>
          <w:sz w:val="24"/>
          <w:szCs w:val="24"/>
        </w:rPr>
      </w:pPr>
      <w:r>
        <w:rPr>
          <w:rFonts w:ascii="Calibri" w:hAnsi="Calibri"/>
          <w:sz w:val="24"/>
          <w:szCs w:val="24"/>
        </w:rPr>
        <w:t xml:space="preserve">You may also donate via check, addressed to “The Byrd Center” and writing </w:t>
      </w:r>
      <w:r w:rsidR="005378F7">
        <w:rPr>
          <w:rFonts w:ascii="Calibri" w:hAnsi="Calibri"/>
          <w:sz w:val="24"/>
          <w:szCs w:val="24"/>
        </w:rPr>
        <w:br/>
      </w:r>
      <w:r>
        <w:rPr>
          <w:rFonts w:ascii="Calibri" w:hAnsi="Calibri"/>
          <w:sz w:val="24"/>
          <w:szCs w:val="24"/>
        </w:rPr>
        <w:t>“</w:t>
      </w:r>
      <w:r w:rsidR="005378F7">
        <w:rPr>
          <w:rFonts w:ascii="Calibri" w:hAnsi="Calibri"/>
          <w:sz w:val="24"/>
          <w:szCs w:val="24"/>
        </w:rPr>
        <w:t>Summer 2022</w:t>
      </w:r>
      <w:r>
        <w:rPr>
          <w:rFonts w:ascii="Calibri" w:hAnsi="Calibri"/>
          <w:sz w:val="24"/>
          <w:szCs w:val="24"/>
        </w:rPr>
        <w:t xml:space="preserve"> Fundraiser” on the memo line. Checks may be sent to: </w:t>
      </w:r>
      <w:bookmarkStart w:id="0" w:name="_GoBack"/>
      <w:bookmarkEnd w:id="0"/>
    </w:p>
    <w:p w14:paraId="6C57B863" w14:textId="77777777" w:rsidR="00C12246" w:rsidRPr="00E73725" w:rsidRDefault="00C12246" w:rsidP="00C12246">
      <w:pPr>
        <w:spacing w:after="0"/>
        <w:rPr>
          <w:rFonts w:ascii="Calibri" w:hAnsi="Calibri"/>
        </w:rPr>
      </w:pPr>
      <w:r>
        <w:rPr>
          <w:rFonts w:ascii="Calibri" w:hAnsi="Calibri"/>
          <w:sz w:val="24"/>
          <w:szCs w:val="24"/>
        </w:rPr>
        <w:tab/>
      </w:r>
      <w:r>
        <w:rPr>
          <w:rFonts w:ascii="Calibri" w:hAnsi="Calibri"/>
          <w:sz w:val="24"/>
          <w:szCs w:val="24"/>
        </w:rPr>
        <w:tab/>
      </w:r>
      <w:r w:rsidRPr="00E73725">
        <w:rPr>
          <w:rFonts w:ascii="Calibri" w:hAnsi="Calibri"/>
        </w:rPr>
        <w:t>Robert C. Byrd Center for Congressional History and Education</w:t>
      </w:r>
    </w:p>
    <w:p w14:paraId="7C499D4E" w14:textId="77777777" w:rsidR="00C12246" w:rsidRPr="00E73725" w:rsidRDefault="00C12246" w:rsidP="00C12246">
      <w:pPr>
        <w:spacing w:after="0"/>
        <w:rPr>
          <w:rFonts w:ascii="Calibri" w:hAnsi="Calibri"/>
        </w:rPr>
      </w:pPr>
      <w:r w:rsidRPr="00E73725">
        <w:rPr>
          <w:rFonts w:ascii="Calibri" w:hAnsi="Calibri"/>
        </w:rPr>
        <w:tab/>
      </w:r>
      <w:r w:rsidRPr="00E73725">
        <w:rPr>
          <w:rFonts w:ascii="Calibri" w:hAnsi="Calibri"/>
        </w:rPr>
        <w:tab/>
        <w:t>ATTN: Jody Brumage</w:t>
      </w:r>
    </w:p>
    <w:p w14:paraId="2F24B68B" w14:textId="77777777" w:rsidR="00C12246" w:rsidRPr="00E73725" w:rsidRDefault="00C12246" w:rsidP="00C12246">
      <w:pPr>
        <w:spacing w:after="0"/>
        <w:rPr>
          <w:rFonts w:ascii="Calibri" w:hAnsi="Calibri"/>
        </w:rPr>
      </w:pPr>
      <w:r w:rsidRPr="00E73725">
        <w:rPr>
          <w:rFonts w:ascii="Calibri" w:hAnsi="Calibri"/>
        </w:rPr>
        <w:tab/>
      </w:r>
      <w:r w:rsidRPr="00E73725">
        <w:rPr>
          <w:rFonts w:ascii="Calibri" w:hAnsi="Calibri"/>
        </w:rPr>
        <w:tab/>
        <w:t>PO Box 5000 Shepherd University</w:t>
      </w:r>
    </w:p>
    <w:p w14:paraId="2E7BBA0E" w14:textId="77777777" w:rsidR="00C12246" w:rsidRPr="00E73725" w:rsidRDefault="00C12246" w:rsidP="00C12246">
      <w:pPr>
        <w:spacing w:after="0"/>
        <w:rPr>
          <w:rFonts w:ascii="Calibri" w:hAnsi="Calibri"/>
        </w:rPr>
      </w:pPr>
      <w:r w:rsidRPr="00E73725">
        <w:rPr>
          <w:rFonts w:ascii="Calibri" w:hAnsi="Calibri"/>
        </w:rPr>
        <w:tab/>
      </w:r>
      <w:r w:rsidRPr="00E73725">
        <w:rPr>
          <w:rFonts w:ascii="Calibri" w:hAnsi="Calibri"/>
        </w:rPr>
        <w:tab/>
        <w:t>Shepherdstown, WV 25443</w:t>
      </w:r>
    </w:p>
    <w:sectPr w:rsidR="00C12246" w:rsidRPr="00E7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8"/>
    <w:rsid w:val="00051793"/>
    <w:rsid w:val="00173D14"/>
    <w:rsid w:val="002E2E8D"/>
    <w:rsid w:val="00484131"/>
    <w:rsid w:val="005378F7"/>
    <w:rsid w:val="005979F8"/>
    <w:rsid w:val="00C12246"/>
    <w:rsid w:val="00C41E81"/>
    <w:rsid w:val="00D136FB"/>
    <w:rsid w:val="00E07D4D"/>
    <w:rsid w:val="00E15FFD"/>
    <w:rsid w:val="00E73725"/>
    <w:rsid w:val="00EF3B78"/>
    <w:rsid w:val="00F2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A939"/>
  <w15:chartTrackingRefBased/>
  <w15:docId w15:val="{84DFFB01-2293-4E0C-A51A-BB327F1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793"/>
    <w:rPr>
      <w:color w:val="0000FF" w:themeColor="hyperlink"/>
      <w:u w:val="single"/>
    </w:rPr>
  </w:style>
  <w:style w:type="character" w:customStyle="1" w:styleId="UnresolvedMention">
    <w:name w:val="Unresolved Mention"/>
    <w:basedOn w:val="DefaultParagraphFont"/>
    <w:uiPriority w:val="99"/>
    <w:semiHidden/>
    <w:unhideWhenUsed/>
    <w:rsid w:val="00051793"/>
    <w:rPr>
      <w:color w:val="605E5C"/>
      <w:shd w:val="clear" w:color="auto" w:fill="E1DFDD"/>
    </w:rPr>
  </w:style>
  <w:style w:type="character" w:styleId="FollowedHyperlink">
    <w:name w:val="FollowedHyperlink"/>
    <w:basedOn w:val="DefaultParagraphFont"/>
    <w:uiPriority w:val="99"/>
    <w:semiHidden/>
    <w:unhideWhenUsed/>
    <w:rsid w:val="00F2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rickett\Desktop\byrdcenter.org\summer-fundraiser-2022" TargetMode="External"/><Relationship Id="rId3" Type="http://schemas.openxmlformats.org/officeDocument/2006/relationships/webSettings" Target="webSettings.xml"/><Relationship Id="rId7" Type="http://schemas.openxmlformats.org/officeDocument/2006/relationships/hyperlink" Target="http://www.byrdcenter.org/abou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yrdcenter.org/summer-fundraiser-2022"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Brumage</dc:creator>
  <cp:keywords/>
  <dc:description/>
  <cp:lastModifiedBy>Elizabeth Ricketts</cp:lastModifiedBy>
  <cp:revision>3</cp:revision>
  <dcterms:created xsi:type="dcterms:W3CDTF">2022-01-24T18:28:00Z</dcterms:created>
  <dcterms:modified xsi:type="dcterms:W3CDTF">2022-01-25T21:00:00Z</dcterms:modified>
</cp:coreProperties>
</file>