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5CCC" w14:textId="428F3308" w:rsidR="00484131" w:rsidRDefault="00EF3B78" w:rsidP="00EF3B78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w:drawing>
          <wp:inline distT="0" distB="0" distL="0" distR="0" wp14:anchorId="5B9D7078" wp14:editId="41F08D13">
            <wp:extent cx="3570944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11" cy="6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 xml:space="preserve">  </w:t>
      </w:r>
      <w:r>
        <w:rPr>
          <w:rFonts w:ascii="Calibri Light" w:hAnsi="Calibri Light"/>
          <w:noProof/>
          <w:sz w:val="32"/>
          <w:szCs w:val="32"/>
        </w:rPr>
        <w:drawing>
          <wp:inline distT="0" distB="0" distL="0" distR="0" wp14:anchorId="4460F7CE" wp14:editId="570F74DF">
            <wp:extent cx="1647102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50" cy="7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F6D3" w14:textId="77777777" w:rsidR="00EF3B78" w:rsidRPr="00173D14" w:rsidRDefault="00EF3B78" w:rsidP="00EF3B78">
      <w:pPr>
        <w:jc w:val="center"/>
        <w:rPr>
          <w:rFonts w:ascii="Calibri Light" w:hAnsi="Calibri Light"/>
          <w:b/>
          <w:sz w:val="28"/>
          <w:szCs w:val="28"/>
        </w:rPr>
      </w:pPr>
      <w:r w:rsidRPr="00173D14">
        <w:rPr>
          <w:rFonts w:ascii="Calibri Light" w:hAnsi="Calibri Light"/>
          <w:b/>
          <w:sz w:val="28"/>
          <w:szCs w:val="28"/>
        </w:rPr>
        <w:t>Fundraiser Sponsorship</w:t>
      </w:r>
    </w:p>
    <w:p w14:paraId="2B56B8AC" w14:textId="5C70B8E8" w:rsidR="00EF3B78" w:rsidRPr="00187B33" w:rsidRDefault="00EF3B78" w:rsidP="00EF3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Event Description</w:t>
      </w:r>
      <w:r>
        <w:rPr>
          <w:rFonts w:ascii="Calibri" w:hAnsi="Calibri"/>
          <w:sz w:val="24"/>
          <w:szCs w:val="24"/>
        </w:rPr>
        <w:t>: On Saturday</w:t>
      </w:r>
      <w:r w:rsidR="005378F7">
        <w:rPr>
          <w:rFonts w:ascii="Calibri" w:hAnsi="Calibri"/>
          <w:sz w:val="24"/>
          <w:szCs w:val="24"/>
        </w:rPr>
        <w:t xml:space="preserve"> June 1</w:t>
      </w:r>
      <w:r w:rsidR="004C14F8">
        <w:rPr>
          <w:rFonts w:ascii="Calibri" w:hAnsi="Calibri"/>
          <w:sz w:val="24"/>
          <w:szCs w:val="24"/>
        </w:rPr>
        <w:t>0</w:t>
      </w:r>
      <w:r w:rsidR="005378F7">
        <w:rPr>
          <w:rFonts w:ascii="Calibri" w:hAnsi="Calibri"/>
          <w:sz w:val="24"/>
          <w:szCs w:val="24"/>
        </w:rPr>
        <w:t>, 202</w:t>
      </w:r>
      <w:r w:rsidR="004C14F8">
        <w:rPr>
          <w:rFonts w:ascii="Calibri" w:hAnsi="Calibri"/>
          <w:sz w:val="24"/>
          <w:szCs w:val="24"/>
        </w:rPr>
        <w:t>3,</w:t>
      </w:r>
      <w:r>
        <w:rPr>
          <w:rFonts w:ascii="Calibri" w:hAnsi="Calibri"/>
          <w:sz w:val="24"/>
          <w:szCs w:val="24"/>
        </w:rPr>
        <w:t xml:space="preserve"> the Friends of the Byrd Center are sponsoring a lawn concert </w:t>
      </w:r>
      <w:r w:rsidR="00E15FFD">
        <w:rPr>
          <w:rFonts w:ascii="Calibri" w:hAnsi="Calibri"/>
          <w:sz w:val="24"/>
          <w:szCs w:val="24"/>
        </w:rPr>
        <w:t xml:space="preserve">fundraiser </w:t>
      </w:r>
      <w:r w:rsidR="004C14F8">
        <w:rPr>
          <w:rFonts w:ascii="Calibri" w:hAnsi="Calibri"/>
          <w:sz w:val="24"/>
          <w:szCs w:val="24"/>
        </w:rPr>
        <w:t>featuring Mountain Stage Pianist Bob Thompson and Shepherd faculty musicians.</w:t>
      </w:r>
      <w:r>
        <w:rPr>
          <w:rFonts w:ascii="Calibri" w:hAnsi="Calibri"/>
          <w:sz w:val="24"/>
          <w:szCs w:val="24"/>
        </w:rPr>
        <w:t xml:space="preserve"> The event will include </w:t>
      </w:r>
      <w:r w:rsidR="004C14F8">
        <w:rPr>
          <w:rFonts w:ascii="Calibri" w:hAnsi="Calibri"/>
          <w:sz w:val="24"/>
          <w:szCs w:val="24"/>
        </w:rPr>
        <w:t>food trucks and dessert</w:t>
      </w:r>
      <w:r w:rsidR="00D136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</w:t>
      </w:r>
      <w:proofErr w:type="gramStart"/>
      <w:r>
        <w:rPr>
          <w:rFonts w:ascii="Calibri" w:hAnsi="Calibri"/>
          <w:sz w:val="24"/>
          <w:szCs w:val="24"/>
        </w:rPr>
        <w:t>will be held</w:t>
      </w:r>
      <w:proofErr w:type="gramEnd"/>
      <w:r w:rsidR="00D136FB">
        <w:rPr>
          <w:rFonts w:ascii="Calibri" w:hAnsi="Calibri"/>
          <w:sz w:val="24"/>
          <w:szCs w:val="24"/>
        </w:rPr>
        <w:t xml:space="preserve"> </w:t>
      </w:r>
      <w:r w:rsidR="004C14F8">
        <w:rPr>
          <w:rFonts w:ascii="Calibri" w:hAnsi="Calibri"/>
          <w:sz w:val="24"/>
          <w:szCs w:val="24"/>
        </w:rPr>
        <w:t xml:space="preserve">outdoors </w:t>
      </w:r>
      <w:r w:rsidR="00D136FB">
        <w:rPr>
          <w:rFonts w:ascii="Calibri" w:hAnsi="Calibri"/>
          <w:sz w:val="24"/>
          <w:szCs w:val="24"/>
        </w:rPr>
        <w:t>on a private property.</w:t>
      </w:r>
      <w:r>
        <w:rPr>
          <w:rFonts w:ascii="Calibri" w:hAnsi="Calibri"/>
          <w:sz w:val="24"/>
          <w:szCs w:val="24"/>
        </w:rPr>
        <w:t xml:space="preserve"> More information is available </w:t>
      </w:r>
      <w:r w:rsidRPr="00187B33">
        <w:rPr>
          <w:rFonts w:ascii="Calibri" w:hAnsi="Calibri"/>
          <w:sz w:val="24"/>
          <w:szCs w:val="24"/>
        </w:rPr>
        <w:t xml:space="preserve">at </w:t>
      </w:r>
      <w:r w:rsidR="00173D14" w:rsidRPr="00E6271A">
        <w:rPr>
          <w:rFonts w:ascii="Calibri" w:hAnsi="Calibri"/>
          <w:color w:val="1F497D" w:themeColor="text2"/>
          <w:sz w:val="24"/>
          <w:szCs w:val="24"/>
        </w:rPr>
        <w:t>byrdcenter.org/summer-fundraiser-202</w:t>
      </w:r>
      <w:r w:rsidR="00187B33" w:rsidRPr="00E6271A">
        <w:rPr>
          <w:rFonts w:ascii="Calibri" w:hAnsi="Calibri"/>
          <w:color w:val="1F497D" w:themeColor="text2"/>
          <w:sz w:val="24"/>
          <w:szCs w:val="24"/>
        </w:rPr>
        <w:t>3</w:t>
      </w:r>
      <w:r w:rsidR="00173D14" w:rsidRPr="00187B33">
        <w:rPr>
          <w:rFonts w:ascii="Calibri" w:hAnsi="Calibri"/>
          <w:sz w:val="24"/>
          <w:szCs w:val="24"/>
        </w:rPr>
        <w:t>.</w:t>
      </w:r>
    </w:p>
    <w:p w14:paraId="38F764EB" w14:textId="6B727585" w:rsidR="00EF3B78" w:rsidRDefault="00EF3B78" w:rsidP="00EF3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Designation for Funds Raised</w:t>
      </w:r>
      <w:r>
        <w:rPr>
          <w:rFonts w:ascii="Calibri" w:hAnsi="Calibri"/>
          <w:sz w:val="24"/>
          <w:szCs w:val="24"/>
        </w:rPr>
        <w:t>: After covering expenses for the evening, all proceeds raised from ticket</w:t>
      </w:r>
      <w:r w:rsidR="004C14F8">
        <w:rPr>
          <w:rFonts w:ascii="Calibri" w:hAnsi="Calibri"/>
          <w:sz w:val="24"/>
          <w:szCs w:val="24"/>
        </w:rPr>
        <w:t xml:space="preserve"> </w:t>
      </w:r>
      <w:r w:rsidR="000867E6">
        <w:rPr>
          <w:rFonts w:ascii="Calibri" w:hAnsi="Calibri"/>
          <w:sz w:val="24"/>
          <w:szCs w:val="24"/>
        </w:rPr>
        <w:t>s</w:t>
      </w:r>
      <w:r w:rsidR="004C14F8">
        <w:rPr>
          <w:rFonts w:ascii="Calibri" w:hAnsi="Calibri"/>
          <w:sz w:val="24"/>
          <w:szCs w:val="24"/>
        </w:rPr>
        <w:t>ales</w:t>
      </w:r>
      <w:r w:rsidR="000867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sponsorships will fund the civics education initiatives of the Robert C. Byrd Center for Congressional History and Education, located on the campus of Shepherd University. A private, non-profit, non-partisan organization, the Byrd Center conducts </w:t>
      </w:r>
      <w:r w:rsidR="004C14F8">
        <w:rPr>
          <w:rFonts w:ascii="Calibri" w:hAnsi="Calibri"/>
          <w:sz w:val="24"/>
          <w:szCs w:val="24"/>
        </w:rPr>
        <w:t>a variety of programs in civics education including an annual Teacher Institute,</w:t>
      </w:r>
      <w:r>
        <w:rPr>
          <w:rFonts w:ascii="Calibri" w:hAnsi="Calibri"/>
          <w:sz w:val="24"/>
          <w:szCs w:val="24"/>
        </w:rPr>
        <w:t xml:space="preserve"> internships to Shepherd University students, and free public programs </w:t>
      </w:r>
      <w:r w:rsidR="004C14F8">
        <w:rPr>
          <w:rFonts w:ascii="Calibri" w:hAnsi="Calibri"/>
          <w:sz w:val="24"/>
          <w:szCs w:val="24"/>
        </w:rPr>
        <w:t>that reach a wider regional audience</w:t>
      </w:r>
      <w:r>
        <w:rPr>
          <w:rFonts w:ascii="Calibri" w:hAnsi="Calibri"/>
          <w:sz w:val="24"/>
          <w:szCs w:val="24"/>
        </w:rPr>
        <w:t xml:space="preserve">. </w:t>
      </w:r>
      <w:r w:rsidR="00E6271A">
        <w:rPr>
          <w:rFonts w:ascii="Calibri" w:hAnsi="Calibri"/>
          <w:sz w:val="24"/>
          <w:szCs w:val="24"/>
        </w:rPr>
        <w:br/>
      </w:r>
      <w:bookmarkStart w:id="0" w:name="_GoBack"/>
      <w:bookmarkEnd w:id="0"/>
      <w:r w:rsidR="004C14F8">
        <w:rPr>
          <w:rFonts w:ascii="Calibri" w:hAnsi="Calibri"/>
          <w:sz w:val="24"/>
          <w:szCs w:val="24"/>
        </w:rPr>
        <w:br/>
      </w:r>
      <w:r w:rsidR="00E15FFD">
        <w:rPr>
          <w:rFonts w:ascii="Calibri" w:hAnsi="Calibri"/>
          <w:sz w:val="24"/>
          <w:szCs w:val="24"/>
        </w:rPr>
        <w:t>M</w:t>
      </w:r>
      <w:r w:rsidR="000867E6">
        <w:rPr>
          <w:rFonts w:ascii="Calibri" w:hAnsi="Calibri"/>
          <w:sz w:val="24"/>
          <w:szCs w:val="24"/>
        </w:rPr>
        <w:t xml:space="preserve">ore information </w:t>
      </w:r>
      <w:proofErr w:type="gramStart"/>
      <w:r w:rsidR="000867E6">
        <w:rPr>
          <w:rFonts w:ascii="Calibri" w:hAnsi="Calibri"/>
          <w:sz w:val="24"/>
          <w:szCs w:val="24"/>
        </w:rPr>
        <w:t>may be found</w:t>
      </w:r>
      <w:proofErr w:type="gramEnd"/>
      <w:r w:rsidR="000867E6">
        <w:rPr>
          <w:rFonts w:ascii="Calibri" w:hAnsi="Calibri"/>
          <w:sz w:val="24"/>
          <w:szCs w:val="24"/>
        </w:rPr>
        <w:t xml:space="preserve"> at </w:t>
      </w:r>
      <w:r w:rsidR="00E15FFD" w:rsidRPr="00E6271A">
        <w:rPr>
          <w:rFonts w:ascii="Calibri" w:hAnsi="Calibri"/>
          <w:color w:val="1F497D" w:themeColor="text2"/>
          <w:sz w:val="24"/>
          <w:szCs w:val="24"/>
        </w:rPr>
        <w:t>www.byrdcenter.org</w:t>
      </w:r>
    </w:p>
    <w:p w14:paraId="05E75B53" w14:textId="77777777" w:rsidR="00EF3B78" w:rsidRDefault="00EF3B78" w:rsidP="00EF3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Levels of Sponsorship: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530"/>
        <w:gridCol w:w="1530"/>
        <w:gridCol w:w="1440"/>
        <w:gridCol w:w="1458"/>
      </w:tblGrid>
      <w:tr w:rsidR="00C41E81" w14:paraId="6EE1E759" w14:textId="2D744791" w:rsidTr="00C41E81">
        <w:tc>
          <w:tcPr>
            <w:tcW w:w="3618" w:type="dxa"/>
            <w:shd w:val="clear" w:color="auto" w:fill="00518A"/>
          </w:tcPr>
          <w:p w14:paraId="17A72B5D" w14:textId="77777777" w:rsidR="00C41E81" w:rsidRPr="00051793" w:rsidRDefault="00C41E81" w:rsidP="00EF3B7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1793">
              <w:rPr>
                <w:rFonts w:ascii="Calibri" w:hAnsi="Calibri"/>
                <w:color w:val="FFFFFF" w:themeColor="background1"/>
                <w:sz w:val="24"/>
                <w:szCs w:val="24"/>
              </w:rPr>
              <w:t>Benefits</w:t>
            </w:r>
          </w:p>
        </w:tc>
        <w:tc>
          <w:tcPr>
            <w:tcW w:w="1530" w:type="dxa"/>
            <w:shd w:val="clear" w:color="auto" w:fill="00518A"/>
          </w:tcPr>
          <w:p w14:paraId="033748B5" w14:textId="77777777" w:rsidR="00C41E81" w:rsidRPr="00051793" w:rsidRDefault="00C41E81" w:rsidP="00EF3B7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1793">
              <w:rPr>
                <w:rFonts w:ascii="Calibri" w:hAnsi="Calibri"/>
                <w:color w:val="FFFFFF" w:themeColor="background1"/>
                <w:sz w:val="24"/>
                <w:szCs w:val="24"/>
              </w:rPr>
              <w:t>$500.00</w:t>
            </w:r>
          </w:p>
        </w:tc>
        <w:tc>
          <w:tcPr>
            <w:tcW w:w="1530" w:type="dxa"/>
            <w:shd w:val="clear" w:color="auto" w:fill="00518A"/>
          </w:tcPr>
          <w:p w14:paraId="7AED0AE3" w14:textId="77777777" w:rsidR="00C41E81" w:rsidRPr="00051793" w:rsidRDefault="00C41E81" w:rsidP="00EF3B7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1793">
              <w:rPr>
                <w:rFonts w:ascii="Calibri" w:hAnsi="Calibri"/>
                <w:color w:val="FFFFFF" w:themeColor="background1"/>
                <w:sz w:val="24"/>
                <w:szCs w:val="24"/>
              </w:rPr>
              <w:t>$1,000.00</w:t>
            </w:r>
          </w:p>
        </w:tc>
        <w:tc>
          <w:tcPr>
            <w:tcW w:w="1440" w:type="dxa"/>
            <w:shd w:val="clear" w:color="auto" w:fill="00518A"/>
          </w:tcPr>
          <w:p w14:paraId="72C79D13" w14:textId="77777777" w:rsidR="00C41E81" w:rsidRPr="00051793" w:rsidRDefault="00C41E81" w:rsidP="00EF3B7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1793">
              <w:rPr>
                <w:rFonts w:ascii="Calibri" w:hAnsi="Calibri"/>
                <w:color w:val="FFFFFF" w:themeColor="background1"/>
                <w:sz w:val="24"/>
                <w:szCs w:val="24"/>
              </w:rPr>
              <w:t>$1,500.00</w:t>
            </w:r>
          </w:p>
        </w:tc>
        <w:tc>
          <w:tcPr>
            <w:tcW w:w="1458" w:type="dxa"/>
            <w:shd w:val="clear" w:color="auto" w:fill="00518A"/>
          </w:tcPr>
          <w:p w14:paraId="60EA47D6" w14:textId="0CC99DB3" w:rsidR="00C41E81" w:rsidRPr="00051793" w:rsidRDefault="00C41E81" w:rsidP="00EF3B7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$2,000</w:t>
            </w:r>
          </w:p>
        </w:tc>
      </w:tr>
      <w:tr w:rsidR="00C41E81" w14:paraId="3409F8EA" w14:textId="16D2C57F" w:rsidTr="00C41E81">
        <w:tc>
          <w:tcPr>
            <w:tcW w:w="3618" w:type="dxa"/>
          </w:tcPr>
          <w:p w14:paraId="6B752E80" w14:textId="2E1C9DDC" w:rsidR="00C41E81" w:rsidRDefault="00C41E81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Pre-Event Web</w:t>
            </w:r>
            <w:r w:rsidR="006C738F">
              <w:rPr>
                <w:rFonts w:ascii="Calibri" w:hAnsi="Calibri"/>
                <w:sz w:val="24"/>
                <w:szCs w:val="24"/>
              </w:rPr>
              <w:t>site</w:t>
            </w:r>
            <w:r>
              <w:rPr>
                <w:rFonts w:ascii="Calibri" w:hAnsi="Calibri"/>
                <w:sz w:val="24"/>
                <w:szCs w:val="24"/>
              </w:rPr>
              <w:t xml:space="preserve"> &amp; Email Recognition</w:t>
            </w:r>
          </w:p>
        </w:tc>
        <w:tc>
          <w:tcPr>
            <w:tcW w:w="1530" w:type="dxa"/>
          </w:tcPr>
          <w:p w14:paraId="0985D75E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530" w:type="dxa"/>
          </w:tcPr>
          <w:p w14:paraId="6EA3F628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40" w:type="dxa"/>
          </w:tcPr>
          <w:p w14:paraId="23274189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58" w:type="dxa"/>
          </w:tcPr>
          <w:p w14:paraId="2EEF4A11" w14:textId="3EC11BCC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C41E81" w14:paraId="7B89C86D" w14:textId="2CF9391B" w:rsidTr="00C41E81">
        <w:tc>
          <w:tcPr>
            <w:tcW w:w="3618" w:type="dxa"/>
          </w:tcPr>
          <w:p w14:paraId="7D9F022B" w14:textId="77777777" w:rsidR="00C41E81" w:rsidRDefault="00C41E81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Verbal Recognition at Event</w:t>
            </w:r>
          </w:p>
        </w:tc>
        <w:tc>
          <w:tcPr>
            <w:tcW w:w="1530" w:type="dxa"/>
          </w:tcPr>
          <w:p w14:paraId="582331AB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530" w:type="dxa"/>
          </w:tcPr>
          <w:p w14:paraId="5935454F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40" w:type="dxa"/>
          </w:tcPr>
          <w:p w14:paraId="6BB0DFE2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58" w:type="dxa"/>
          </w:tcPr>
          <w:p w14:paraId="70108CDC" w14:textId="11542B24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C41E81" w14:paraId="020F9EE5" w14:textId="45F8BBC6" w:rsidTr="00C41E81">
        <w:tc>
          <w:tcPr>
            <w:tcW w:w="3618" w:type="dxa"/>
          </w:tcPr>
          <w:p w14:paraId="6FDAEA04" w14:textId="081B94DB" w:rsidR="00C41E81" w:rsidRDefault="00C41E81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Display of Business/Organization Logo at Event on Banners</w:t>
            </w:r>
          </w:p>
        </w:tc>
        <w:tc>
          <w:tcPr>
            <w:tcW w:w="1530" w:type="dxa"/>
          </w:tcPr>
          <w:p w14:paraId="3C50955D" w14:textId="0D5D4348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530" w:type="dxa"/>
          </w:tcPr>
          <w:p w14:paraId="531EB14D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  <w:p w14:paraId="7A7ED8A3" w14:textId="3FA0DFDB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+stage banner</w:t>
            </w:r>
          </w:p>
        </w:tc>
        <w:tc>
          <w:tcPr>
            <w:tcW w:w="1440" w:type="dxa"/>
          </w:tcPr>
          <w:p w14:paraId="57257FC9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  <w:p w14:paraId="6F49ECD5" w14:textId="54A4248D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+stage banner</w:t>
            </w:r>
          </w:p>
        </w:tc>
        <w:tc>
          <w:tcPr>
            <w:tcW w:w="1458" w:type="dxa"/>
          </w:tcPr>
          <w:p w14:paraId="03BE4C3A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  <w:p w14:paraId="72486B7A" w14:textId="367EFADA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+stage banner</w:t>
            </w:r>
          </w:p>
        </w:tc>
      </w:tr>
      <w:tr w:rsidR="006C738F" w14:paraId="501BEA31" w14:textId="77777777" w:rsidTr="00C41E81">
        <w:tc>
          <w:tcPr>
            <w:tcW w:w="3618" w:type="dxa"/>
          </w:tcPr>
          <w:p w14:paraId="03D411B1" w14:textId="3E2BF580" w:rsidR="006C738F" w:rsidRDefault="006C738F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Linked logo on website</w:t>
            </w:r>
          </w:p>
        </w:tc>
        <w:tc>
          <w:tcPr>
            <w:tcW w:w="1530" w:type="dxa"/>
          </w:tcPr>
          <w:p w14:paraId="79B75D08" w14:textId="77777777" w:rsidR="006C738F" w:rsidRDefault="006C738F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7902C8" w14:textId="04AA547F" w:rsidR="006C738F" w:rsidRDefault="006C738F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40" w:type="dxa"/>
          </w:tcPr>
          <w:p w14:paraId="5F6C6455" w14:textId="1578447C" w:rsidR="006C738F" w:rsidRDefault="006C738F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58" w:type="dxa"/>
          </w:tcPr>
          <w:p w14:paraId="5C51FB20" w14:textId="41E8134D" w:rsidR="006C738F" w:rsidRDefault="006C738F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C41E81" w14:paraId="77ED0899" w14:textId="5F500B46" w:rsidTr="00C41E81">
        <w:tc>
          <w:tcPr>
            <w:tcW w:w="3618" w:type="dxa"/>
          </w:tcPr>
          <w:p w14:paraId="2C4F5FE1" w14:textId="339E5E0D" w:rsidR="00C41E81" w:rsidRDefault="00C41E81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2-Complimentary Tickets for Event</w:t>
            </w:r>
          </w:p>
        </w:tc>
        <w:tc>
          <w:tcPr>
            <w:tcW w:w="1530" w:type="dxa"/>
          </w:tcPr>
          <w:p w14:paraId="7C1E066A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E912E3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86440A" w14:textId="77777777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1458" w:type="dxa"/>
          </w:tcPr>
          <w:p w14:paraId="1CCD6242" w14:textId="76BFF5BC" w:rsidR="00C41E81" w:rsidRDefault="00C41E81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D136FB" w14:paraId="60416A0E" w14:textId="77777777" w:rsidTr="00C41E81">
        <w:tc>
          <w:tcPr>
            <w:tcW w:w="3618" w:type="dxa"/>
          </w:tcPr>
          <w:p w14:paraId="34DB41FD" w14:textId="6B3F5B2A" w:rsidR="00D136FB" w:rsidRDefault="00D136FB" w:rsidP="00EF3B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Featured in Press Releases </w:t>
            </w:r>
          </w:p>
        </w:tc>
        <w:tc>
          <w:tcPr>
            <w:tcW w:w="1530" w:type="dxa"/>
          </w:tcPr>
          <w:p w14:paraId="5A7F4FD0" w14:textId="77777777" w:rsidR="00D136FB" w:rsidRDefault="00D136FB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25D4A6" w14:textId="77777777" w:rsidR="00D136FB" w:rsidRDefault="00D136FB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5BC857" w14:textId="77777777" w:rsidR="00D136FB" w:rsidRDefault="00D136FB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3215186" w14:textId="148DEEA5" w:rsidR="00D136FB" w:rsidRDefault="00D136FB" w:rsidP="00C41E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</w:tbl>
    <w:p w14:paraId="6C4C930F" w14:textId="22534854" w:rsidR="00F2094A" w:rsidRDefault="00051793" w:rsidP="00EF3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How to Donate:</w:t>
      </w:r>
      <w:r>
        <w:rPr>
          <w:rFonts w:ascii="Calibri" w:hAnsi="Calibri"/>
          <w:sz w:val="24"/>
          <w:szCs w:val="24"/>
        </w:rPr>
        <w:t xml:space="preserve"> Donations </w:t>
      </w:r>
      <w:proofErr w:type="gramStart"/>
      <w:r>
        <w:rPr>
          <w:rFonts w:ascii="Calibri" w:hAnsi="Calibri"/>
          <w:sz w:val="24"/>
          <w:szCs w:val="24"/>
        </w:rPr>
        <w:t>can be made</w:t>
      </w:r>
      <w:proofErr w:type="gramEnd"/>
      <w:r>
        <w:rPr>
          <w:rFonts w:ascii="Calibri" w:hAnsi="Calibri"/>
          <w:sz w:val="24"/>
          <w:szCs w:val="24"/>
        </w:rPr>
        <w:t xml:space="preserve"> electronically by visiting </w:t>
      </w:r>
      <w:r w:rsidR="00E73725">
        <w:rPr>
          <w:rFonts w:ascii="Calibri" w:hAnsi="Calibri"/>
          <w:sz w:val="24"/>
          <w:szCs w:val="24"/>
        </w:rPr>
        <w:t xml:space="preserve">our website </w:t>
      </w:r>
      <w:r w:rsidR="00E73725">
        <w:rPr>
          <w:rFonts w:ascii="Calibri" w:hAnsi="Calibri"/>
          <w:sz w:val="24"/>
          <w:szCs w:val="24"/>
        </w:rPr>
        <w:br/>
      </w:r>
      <w:r w:rsidR="00187B33" w:rsidRPr="00187B33">
        <w:rPr>
          <w:color w:val="1F497D" w:themeColor="text2"/>
          <w:sz w:val="24"/>
          <w:szCs w:val="24"/>
        </w:rPr>
        <w:t>www.byrdcenter.org/tickets-and-sponsorship</w:t>
      </w:r>
      <w:r w:rsidRPr="00187B33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selecting your level of sponsorship. </w:t>
      </w:r>
    </w:p>
    <w:p w14:paraId="2E7BBA0E" w14:textId="620B9090" w:rsidR="00C12246" w:rsidRPr="000867E6" w:rsidRDefault="00051793" w:rsidP="000867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may also donate via check, addressed to “The Byrd Center” and writing </w:t>
      </w:r>
      <w:r w:rsidR="000867E6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“</w:t>
      </w:r>
      <w:proofErr w:type="gramStart"/>
      <w:r w:rsidR="005378F7" w:rsidRPr="000867E6">
        <w:rPr>
          <w:rFonts w:ascii="Calibri" w:hAnsi="Calibri"/>
          <w:b/>
          <w:sz w:val="24"/>
          <w:szCs w:val="24"/>
        </w:rPr>
        <w:t>Summer</w:t>
      </w:r>
      <w:proofErr w:type="gramEnd"/>
      <w:r w:rsidR="005378F7" w:rsidRPr="000867E6">
        <w:rPr>
          <w:rFonts w:ascii="Calibri" w:hAnsi="Calibri"/>
          <w:b/>
          <w:sz w:val="24"/>
          <w:szCs w:val="24"/>
        </w:rPr>
        <w:t xml:space="preserve"> 202</w:t>
      </w:r>
      <w:r w:rsidR="004C14F8">
        <w:rPr>
          <w:rFonts w:ascii="Calibri" w:hAnsi="Calibri"/>
          <w:b/>
          <w:sz w:val="24"/>
          <w:szCs w:val="24"/>
        </w:rPr>
        <w:t>3</w:t>
      </w:r>
      <w:r w:rsidRPr="000867E6">
        <w:rPr>
          <w:rFonts w:ascii="Calibri" w:hAnsi="Calibri"/>
          <w:b/>
          <w:sz w:val="24"/>
          <w:szCs w:val="24"/>
        </w:rPr>
        <w:t xml:space="preserve"> Fundraiser</w:t>
      </w:r>
      <w:r w:rsidR="004C14F8">
        <w:rPr>
          <w:rFonts w:ascii="Calibri" w:hAnsi="Calibri"/>
          <w:b/>
          <w:sz w:val="24"/>
          <w:szCs w:val="24"/>
        </w:rPr>
        <w:t xml:space="preserve"> sponsorship</w:t>
      </w:r>
      <w:r>
        <w:rPr>
          <w:rFonts w:ascii="Calibri" w:hAnsi="Calibri"/>
          <w:sz w:val="24"/>
          <w:szCs w:val="24"/>
        </w:rPr>
        <w:t xml:space="preserve">” on the memo line. Checks </w:t>
      </w:r>
      <w:proofErr w:type="gramStart"/>
      <w:r>
        <w:rPr>
          <w:rFonts w:ascii="Calibri" w:hAnsi="Calibri"/>
          <w:sz w:val="24"/>
          <w:szCs w:val="24"/>
        </w:rPr>
        <w:t>may be sent</w:t>
      </w:r>
      <w:proofErr w:type="gramEnd"/>
      <w:r>
        <w:rPr>
          <w:rFonts w:ascii="Calibri" w:hAnsi="Calibri"/>
          <w:sz w:val="24"/>
          <w:szCs w:val="24"/>
        </w:rPr>
        <w:t xml:space="preserve"> to: </w:t>
      </w:r>
      <w:r w:rsidR="00C12246">
        <w:rPr>
          <w:rFonts w:ascii="Calibri" w:hAnsi="Calibri"/>
          <w:sz w:val="24"/>
          <w:szCs w:val="24"/>
        </w:rPr>
        <w:tab/>
      </w:r>
      <w:r w:rsidR="00C12246">
        <w:rPr>
          <w:rFonts w:ascii="Calibri" w:hAnsi="Calibr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C14F8" w14:paraId="7418EA9C" w14:textId="77777777" w:rsidTr="004C14F8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7AED535C" w14:textId="576341D3" w:rsidR="004C14F8" w:rsidRPr="00E73725" w:rsidRDefault="004C14F8" w:rsidP="000867E6">
            <w:pPr>
              <w:jc w:val="center"/>
              <w:rPr>
                <w:rFonts w:ascii="Calibri" w:hAnsi="Calibri"/>
              </w:rPr>
            </w:pPr>
            <w:r w:rsidRPr="00E73725">
              <w:rPr>
                <w:rFonts w:ascii="Calibri" w:hAnsi="Calibri"/>
              </w:rPr>
              <w:t>Robert C. Byrd Center for Congressional History and Education</w:t>
            </w:r>
          </w:p>
          <w:p w14:paraId="7DA3F7D0" w14:textId="17861E07" w:rsidR="004C14F8" w:rsidRPr="00E73725" w:rsidRDefault="004C14F8" w:rsidP="000867E6">
            <w:pPr>
              <w:jc w:val="center"/>
              <w:rPr>
                <w:rFonts w:ascii="Calibri" w:hAnsi="Calibri"/>
              </w:rPr>
            </w:pPr>
            <w:r w:rsidRPr="00E73725">
              <w:rPr>
                <w:rFonts w:ascii="Calibri" w:hAnsi="Calibri"/>
              </w:rPr>
              <w:t xml:space="preserve">ATTN: </w:t>
            </w:r>
            <w:r>
              <w:rPr>
                <w:rFonts w:ascii="Calibri" w:hAnsi="Calibri"/>
              </w:rPr>
              <w:t>Elizabeth Ricketts</w:t>
            </w:r>
          </w:p>
          <w:p w14:paraId="1666EF76" w14:textId="2F59D5ED" w:rsidR="004C14F8" w:rsidRPr="00E73725" w:rsidRDefault="004C14F8" w:rsidP="000867E6">
            <w:pPr>
              <w:jc w:val="center"/>
              <w:rPr>
                <w:rFonts w:ascii="Calibri" w:hAnsi="Calibri"/>
              </w:rPr>
            </w:pPr>
            <w:r w:rsidRPr="00E73725">
              <w:rPr>
                <w:rFonts w:ascii="Calibri" w:hAnsi="Calibri"/>
              </w:rPr>
              <w:t>PO Box 5000 Shepherd University</w:t>
            </w:r>
          </w:p>
          <w:p w14:paraId="05FD2FF4" w14:textId="2470AB9B" w:rsidR="004C14F8" w:rsidRDefault="004C14F8" w:rsidP="000867E6">
            <w:pPr>
              <w:jc w:val="center"/>
              <w:rPr>
                <w:rFonts w:ascii="Calibri" w:hAnsi="Calibri"/>
              </w:rPr>
            </w:pPr>
            <w:r w:rsidRPr="00E73725">
              <w:rPr>
                <w:rFonts w:ascii="Calibri" w:hAnsi="Calibri"/>
              </w:rPr>
              <w:t>Shepherdstown, WV 25443</w:t>
            </w:r>
          </w:p>
          <w:p w14:paraId="50B3CE50" w14:textId="77777777" w:rsidR="004C14F8" w:rsidRDefault="004C14F8" w:rsidP="00C12246">
            <w:pPr>
              <w:rPr>
                <w:rFonts w:ascii="Calibri" w:hAnsi="Calibri"/>
              </w:rPr>
            </w:pPr>
          </w:p>
        </w:tc>
      </w:tr>
    </w:tbl>
    <w:p w14:paraId="1CA5F73F" w14:textId="77777777" w:rsidR="004C14F8" w:rsidRDefault="004C14F8" w:rsidP="009A194A">
      <w:pPr>
        <w:spacing w:after="0"/>
        <w:jc w:val="center"/>
        <w:rPr>
          <w:rFonts w:ascii="Calibri" w:hAnsi="Calibri"/>
          <w:b/>
        </w:rPr>
      </w:pPr>
    </w:p>
    <w:p w14:paraId="08160225" w14:textId="58C51AE7" w:rsidR="006C738F" w:rsidRPr="00E73725" w:rsidRDefault="006C738F" w:rsidP="009A194A">
      <w:pPr>
        <w:spacing w:after="0"/>
        <w:jc w:val="center"/>
        <w:rPr>
          <w:rFonts w:ascii="Calibri" w:hAnsi="Calibri"/>
        </w:rPr>
      </w:pPr>
      <w:r w:rsidRPr="00D31D8C">
        <w:rPr>
          <w:rFonts w:ascii="Calibri" w:hAnsi="Calibri"/>
          <w:b/>
        </w:rPr>
        <w:t xml:space="preserve">Monday, May </w:t>
      </w:r>
      <w:r w:rsidR="000867E6" w:rsidRPr="00D31D8C">
        <w:rPr>
          <w:rFonts w:ascii="Calibri" w:hAnsi="Calibri"/>
          <w:b/>
        </w:rPr>
        <w:t>2</w:t>
      </w:r>
      <w:r w:rsidR="004C14F8">
        <w:rPr>
          <w:rFonts w:ascii="Calibri" w:hAnsi="Calibri"/>
          <w:b/>
        </w:rPr>
        <w:t>2</w:t>
      </w:r>
      <w:r w:rsidR="000867E6">
        <w:rPr>
          <w:rFonts w:ascii="Calibri" w:hAnsi="Calibri"/>
          <w:b/>
        </w:rPr>
        <w:t>,</w:t>
      </w:r>
      <w:r w:rsidR="00D31D8C" w:rsidRPr="00D31D8C">
        <w:rPr>
          <w:rFonts w:ascii="Calibri" w:hAnsi="Calibri"/>
          <w:b/>
          <w:vertAlign w:val="superscript"/>
        </w:rPr>
        <w:t xml:space="preserve"> </w:t>
      </w:r>
      <w:r w:rsidR="00D31D8C" w:rsidRPr="00D31D8C">
        <w:rPr>
          <w:rFonts w:ascii="Calibri" w:hAnsi="Calibri"/>
          <w:b/>
        </w:rPr>
        <w:t>202</w:t>
      </w:r>
      <w:r w:rsidR="004C14F8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is the deadline for submitting sponsorship materials.</w:t>
      </w:r>
    </w:p>
    <w:sectPr w:rsidR="006C738F" w:rsidRPr="00E73725" w:rsidSect="000867E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8"/>
    <w:rsid w:val="00051793"/>
    <w:rsid w:val="000867E6"/>
    <w:rsid w:val="00173D14"/>
    <w:rsid w:val="00187B33"/>
    <w:rsid w:val="002E2E8D"/>
    <w:rsid w:val="00484131"/>
    <w:rsid w:val="004C14F8"/>
    <w:rsid w:val="005378F7"/>
    <w:rsid w:val="005979F8"/>
    <w:rsid w:val="006C738F"/>
    <w:rsid w:val="00726B3C"/>
    <w:rsid w:val="009A194A"/>
    <w:rsid w:val="00C12246"/>
    <w:rsid w:val="00C41E81"/>
    <w:rsid w:val="00D136FB"/>
    <w:rsid w:val="00D31D8C"/>
    <w:rsid w:val="00E07D4D"/>
    <w:rsid w:val="00E15FFD"/>
    <w:rsid w:val="00E6271A"/>
    <w:rsid w:val="00E73725"/>
    <w:rsid w:val="00EF3B78"/>
    <w:rsid w:val="00F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A939"/>
  <w15:chartTrackingRefBased/>
  <w15:docId w15:val="{84DFFB01-2293-4E0C-A51A-BB327F15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7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Brumage</dc:creator>
  <cp:keywords/>
  <dc:description/>
  <cp:lastModifiedBy>Elizabeth Ricketts</cp:lastModifiedBy>
  <cp:revision>4</cp:revision>
  <cp:lastPrinted>2022-04-19T18:08:00Z</cp:lastPrinted>
  <dcterms:created xsi:type="dcterms:W3CDTF">2023-01-10T19:03:00Z</dcterms:created>
  <dcterms:modified xsi:type="dcterms:W3CDTF">2023-01-18T14:58:00Z</dcterms:modified>
</cp:coreProperties>
</file>